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0C" w:rsidRDefault="00D5010C"/>
    <w:p w:rsidR="00360C27" w:rsidRDefault="00AA3F45">
      <w:r>
        <w:rPr>
          <w:noProof/>
          <w:lang w:eastAsia="pl-PL"/>
        </w:rPr>
        <w:drawing>
          <wp:inline distT="0" distB="0" distL="0" distR="0" wp14:anchorId="51F083F4">
            <wp:extent cx="137160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C27" w:rsidRDefault="00360C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2012"/>
        <w:gridCol w:w="2187"/>
        <w:gridCol w:w="4214"/>
      </w:tblGrid>
      <w:tr w:rsidR="00360C27" w:rsidRPr="00360C27" w:rsidTr="00360C27">
        <w:trPr>
          <w:trHeight w:val="1729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L.p.</w:t>
            </w:r>
          </w:p>
        </w:tc>
        <w:tc>
          <w:tcPr>
            <w:tcW w:w="3300" w:type="dxa"/>
            <w:noWrap/>
            <w:hideMark/>
          </w:tcPr>
          <w:p w:rsidR="00360C27" w:rsidRPr="00360C27" w:rsidRDefault="00360C27" w:rsidP="00360C27">
            <w:r w:rsidRPr="00360C27">
              <w:t>doktorant</w:t>
            </w:r>
          </w:p>
        </w:tc>
        <w:tc>
          <w:tcPr>
            <w:tcW w:w="3600" w:type="dxa"/>
            <w:noWrap/>
            <w:hideMark/>
          </w:tcPr>
          <w:p w:rsidR="00360C27" w:rsidRPr="00360C27" w:rsidRDefault="00360C27" w:rsidP="00360C27">
            <w:r w:rsidRPr="00360C27">
              <w:t>promotor</w:t>
            </w:r>
          </w:p>
        </w:tc>
        <w:tc>
          <w:tcPr>
            <w:tcW w:w="7080" w:type="dxa"/>
            <w:noWrap/>
            <w:hideMark/>
          </w:tcPr>
          <w:p w:rsidR="00360C27" w:rsidRPr="00360C27" w:rsidRDefault="00360C27" w:rsidP="00360C27">
            <w:r>
              <w:t>Tematyka wystą</w:t>
            </w:r>
            <w:r w:rsidRPr="00360C27">
              <w:t xml:space="preserve">pienia  </w:t>
            </w:r>
          </w:p>
        </w:tc>
      </w:tr>
      <w:tr w:rsidR="00360C27" w:rsidRPr="00360C27" w:rsidTr="00360C27">
        <w:trPr>
          <w:trHeight w:val="63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BEDNARSKI IGOR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proofErr w:type="spellStart"/>
            <w:r w:rsidRPr="00360C27">
              <w:t>Głą</w:t>
            </w:r>
            <w:bookmarkStart w:id="0" w:name="_GoBack"/>
            <w:bookmarkEnd w:id="0"/>
            <w:r w:rsidRPr="00360C27">
              <w:t>biński</w:t>
            </w:r>
            <w:proofErr w:type="spellEnd"/>
            <w:r w:rsidRPr="00360C27">
              <w:t xml:space="preserve"> Andrzej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Inflammasome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proteins</w:t>
            </w:r>
            <w:proofErr w:type="spellEnd"/>
            <w:r w:rsidRPr="00360C27">
              <w:t xml:space="preserve"> as </w:t>
            </w:r>
            <w:proofErr w:type="spellStart"/>
            <w:r w:rsidRPr="00360C27">
              <w:t>new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markers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multiple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sclerosis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065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LEWANDOWSKA BARBARA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proofErr w:type="spellStart"/>
            <w:r w:rsidRPr="00360C27">
              <w:t>Głąbiński</w:t>
            </w:r>
            <w:proofErr w:type="spellEnd"/>
            <w:r w:rsidRPr="00360C27">
              <w:t xml:space="preserve"> Andrzej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Analysis of </w:t>
            </w:r>
            <w:proofErr w:type="spellStart"/>
            <w:r w:rsidRPr="00360C27">
              <w:t>immunomodulatory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effects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testosterone</w:t>
            </w:r>
            <w:proofErr w:type="spellEnd"/>
            <w:r w:rsidRPr="00360C27">
              <w:t xml:space="preserve"> on </w:t>
            </w:r>
            <w:proofErr w:type="spellStart"/>
            <w:r w:rsidRPr="00360C27">
              <w:t>inflammatory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cells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multiple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sclerosis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assessment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this</w:t>
            </w:r>
            <w:proofErr w:type="spellEnd"/>
            <w:r w:rsidRPr="00360C27">
              <w:t xml:space="preserve"> role in </w:t>
            </w:r>
            <w:proofErr w:type="spellStart"/>
            <w:r w:rsidRPr="00360C27">
              <w:t>modulation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differentiation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oligodendrocyte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progenitor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cells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3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IWAN  EWA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Lelonek Małgorzata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Clinical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characteristics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prognosis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pregnant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women</w:t>
            </w:r>
            <w:proofErr w:type="spellEnd"/>
            <w:r w:rsidRPr="00360C27">
              <w:t xml:space="preserve"> with a </w:t>
            </w:r>
            <w:proofErr w:type="spellStart"/>
            <w:r w:rsidRPr="00360C27">
              <w:t>positive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cardiological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history</w:t>
            </w:r>
            <w:proofErr w:type="spellEnd"/>
            <w:r w:rsidRPr="00360C27">
              <w:t xml:space="preserve"> - </w:t>
            </w:r>
            <w:proofErr w:type="spellStart"/>
            <w:r w:rsidRPr="00360C27">
              <w:t>summary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progress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research</w:t>
            </w:r>
            <w:proofErr w:type="spellEnd"/>
            <w:r w:rsidRPr="00360C27">
              <w:t xml:space="preserve"> from the </w:t>
            </w:r>
            <w:proofErr w:type="spellStart"/>
            <w:r w:rsidRPr="00360C27">
              <w:t>academic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year</w:t>
            </w:r>
            <w:proofErr w:type="spellEnd"/>
            <w:r w:rsidRPr="00360C27">
              <w:t xml:space="preserve"> 2019/2020.</w:t>
            </w:r>
          </w:p>
        </w:tc>
      </w:tr>
      <w:tr w:rsidR="00360C27" w:rsidRPr="00360C27" w:rsidTr="00360C27">
        <w:trPr>
          <w:trHeight w:val="63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4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CZARNIK KLAUDIA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proofErr w:type="spellStart"/>
            <w:r w:rsidRPr="00360C27">
              <w:t>Cypryk</w:t>
            </w:r>
            <w:proofErr w:type="spellEnd"/>
            <w:r w:rsidRPr="00360C27">
              <w:t xml:space="preserve"> Katarzyna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Telemedicine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compared</w:t>
            </w:r>
            <w:proofErr w:type="spellEnd"/>
            <w:r w:rsidRPr="00360C27">
              <w:t xml:space="preserve"> to standard </w:t>
            </w:r>
            <w:proofErr w:type="spellStart"/>
            <w:r w:rsidRPr="00360C27">
              <w:t>care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type</w:t>
            </w:r>
            <w:proofErr w:type="spellEnd"/>
            <w:r w:rsidRPr="00360C27">
              <w:t xml:space="preserve"> 1 </w:t>
            </w:r>
            <w:proofErr w:type="spellStart"/>
            <w:r w:rsidRPr="00360C27">
              <w:t>diabetes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mellitus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6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5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DUDA ŁUKASZ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 med.</w:t>
            </w:r>
            <w:r>
              <w:t xml:space="preserve"> </w:t>
            </w:r>
            <w:r w:rsidRPr="00360C27">
              <w:t>Pasieka Zbigniew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use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chicory</w:t>
            </w:r>
            <w:proofErr w:type="spellEnd"/>
            <w:r w:rsidRPr="00360C27">
              <w:t xml:space="preserve"> as </w:t>
            </w:r>
            <w:proofErr w:type="spellStart"/>
            <w:r w:rsidRPr="00360C27">
              <w:t>an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alternative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method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pain</w:t>
            </w:r>
            <w:proofErr w:type="spellEnd"/>
            <w:r w:rsidRPr="00360C27">
              <w:t xml:space="preserve"> relief.</w:t>
            </w:r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6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FRACHOWICZ KAROLINA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 Kowalski Marek L. prof. dr hab. n. med.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Respiratory </w:t>
            </w:r>
            <w:proofErr w:type="spellStart"/>
            <w:r w:rsidRPr="00360C27">
              <w:t>disease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exacerbated</w:t>
            </w:r>
            <w:proofErr w:type="spellEnd"/>
            <w:r w:rsidRPr="00360C27">
              <w:t xml:space="preserve"> by </w:t>
            </w:r>
            <w:proofErr w:type="spellStart"/>
            <w:r w:rsidRPr="00360C27">
              <w:t>nonsteroidal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anti-inflammatory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drugs</w:t>
            </w:r>
            <w:proofErr w:type="spellEnd"/>
            <w:r w:rsidRPr="00360C27">
              <w:t xml:space="preserve"> as </w:t>
            </w:r>
            <w:proofErr w:type="spellStart"/>
            <w:r w:rsidRPr="00360C27">
              <w:t>an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asthma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endotype</w:t>
            </w:r>
            <w:proofErr w:type="spellEnd"/>
            <w:r w:rsidRPr="00360C27">
              <w:t xml:space="preserve"> - </w:t>
            </w:r>
            <w:proofErr w:type="spellStart"/>
            <w:r w:rsidRPr="00360C27">
              <w:t>clinical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immunological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characteristics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05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7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FRANKOWSKA EMILIA</w:t>
            </w:r>
          </w:p>
        </w:tc>
        <w:tc>
          <w:tcPr>
            <w:tcW w:w="3600" w:type="dxa"/>
            <w:hideMark/>
          </w:tcPr>
          <w:p w:rsidR="00360C27" w:rsidRPr="00360C27" w:rsidRDefault="00360C27" w:rsidP="00360C27">
            <w:r w:rsidRPr="00360C27">
              <w:t>dr hab. n. med.</w:t>
            </w:r>
            <w:r>
              <w:t xml:space="preserve"> K</w:t>
            </w:r>
            <w:r w:rsidRPr="00360C27">
              <w:t>aźmierski Jakub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Assessment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Effectiveness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Safety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Transcranial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Magnetic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Stimulation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Dementia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Treat-ment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Alzheimer’s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disease</w:t>
            </w:r>
            <w:proofErr w:type="spellEnd"/>
            <w:r w:rsidRPr="00360C27">
              <w:t xml:space="preserve"> – Report on First </w:t>
            </w:r>
            <w:proofErr w:type="spellStart"/>
            <w:r w:rsidRPr="00360C27">
              <w:t>Year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Research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8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GAWRYSIAK MATEUSZ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dr hab. n. med. Chałubiński Maciej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effect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rhinovirus</w:t>
            </w:r>
            <w:proofErr w:type="spellEnd"/>
            <w:r w:rsidRPr="00360C27">
              <w:t xml:space="preserve"> HRV-16 </w:t>
            </w:r>
            <w:proofErr w:type="spellStart"/>
            <w:r w:rsidRPr="00360C27">
              <w:t>infection</w:t>
            </w:r>
            <w:proofErr w:type="spellEnd"/>
            <w:r w:rsidRPr="00360C27">
              <w:t xml:space="preserve"> on </w:t>
            </w:r>
            <w:proofErr w:type="spellStart"/>
            <w:r w:rsidRPr="00360C27">
              <w:t>barrier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properties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regeneration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lung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endothelium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rhinoviral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immunopathology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asthma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exacerbations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9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JĘDRZEJEWSKA DARIA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Drożdż Jarosław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value</w:t>
            </w:r>
            <w:proofErr w:type="spellEnd"/>
            <w:r w:rsidRPr="00360C27">
              <w:t xml:space="preserve"> of point </w:t>
            </w:r>
            <w:proofErr w:type="spellStart"/>
            <w:r w:rsidRPr="00360C27">
              <w:t>risk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scale</w:t>
            </w:r>
            <w:proofErr w:type="spellEnd"/>
            <w:r w:rsidRPr="00360C27">
              <w:t xml:space="preserve"> in the </w:t>
            </w:r>
            <w:proofErr w:type="spellStart"/>
            <w:r w:rsidRPr="00360C27">
              <w:t>qualification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process</w:t>
            </w:r>
            <w:proofErr w:type="spellEnd"/>
            <w:r w:rsidRPr="00360C27">
              <w:t xml:space="preserve"> for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’ </w:t>
            </w:r>
            <w:proofErr w:type="spellStart"/>
            <w:r w:rsidRPr="00360C27">
              <w:t>revascularization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multivessel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coronary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artery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disease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lastRenderedPageBreak/>
              <w:t>10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PIEKARNIAK MICHAŁ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Drożdż Jarosław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application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coronary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reserve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assessment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during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dynamic</w:t>
            </w:r>
            <w:proofErr w:type="spellEnd"/>
            <w:r w:rsidRPr="00360C27">
              <w:t xml:space="preserve"> SPECT test as a </w:t>
            </w:r>
            <w:proofErr w:type="spellStart"/>
            <w:r w:rsidRPr="00360C27">
              <w:t>qualification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tool</w:t>
            </w:r>
            <w:proofErr w:type="spellEnd"/>
            <w:r w:rsidRPr="00360C27">
              <w:t xml:space="preserve"> for </w:t>
            </w:r>
            <w:proofErr w:type="spellStart"/>
            <w:r w:rsidRPr="00360C27">
              <w:t>revascularization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multivessel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coronary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artery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disease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11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KAŁUZIŃSKA ŻANETA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dr hab. n. med.</w:t>
            </w:r>
            <w:r>
              <w:t xml:space="preserve"> </w:t>
            </w:r>
            <w:r w:rsidRPr="00360C27">
              <w:t>Płuciennik Elżbieta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Determination</w:t>
            </w:r>
            <w:proofErr w:type="spellEnd"/>
            <w:r w:rsidRPr="00360C27">
              <w:t xml:space="preserve"> of the WWOX </w:t>
            </w:r>
            <w:proofErr w:type="spellStart"/>
            <w:r w:rsidRPr="00360C27">
              <w:t>gene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function</w:t>
            </w:r>
            <w:proofErr w:type="spellEnd"/>
            <w:r w:rsidRPr="00360C27">
              <w:t xml:space="preserve"> in the development and </w:t>
            </w:r>
            <w:proofErr w:type="spellStart"/>
            <w:r w:rsidRPr="00360C27">
              <w:t>course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glioblastoma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multiforme</w:t>
            </w:r>
            <w:proofErr w:type="spellEnd"/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12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KOŁAT DAMIAN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dr hab. n. med.</w:t>
            </w:r>
            <w:r>
              <w:t xml:space="preserve"> </w:t>
            </w:r>
            <w:r w:rsidRPr="00360C27">
              <w:t>Płuciennik Elżbieta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Influence of WWOX protein in the AP-2γ </w:t>
            </w:r>
            <w:proofErr w:type="spellStart"/>
            <w:r w:rsidRPr="00360C27">
              <w:t>transcription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factor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pathway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bladder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cancer</w:t>
            </w:r>
            <w:proofErr w:type="spellEnd"/>
            <w:r w:rsidRPr="00360C27">
              <w:t xml:space="preserve"> –in vitro </w:t>
            </w:r>
            <w:proofErr w:type="spellStart"/>
            <w:r w:rsidRPr="00360C27">
              <w:t>analyzes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26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13</w:t>
            </w:r>
          </w:p>
        </w:tc>
        <w:tc>
          <w:tcPr>
            <w:tcW w:w="3300" w:type="dxa"/>
            <w:hideMark/>
          </w:tcPr>
          <w:p w:rsidR="00360C27" w:rsidRPr="00360C27" w:rsidRDefault="00360C27" w:rsidP="00360C27">
            <w:pPr>
              <w:spacing w:after="160"/>
              <w:rPr>
                <w:b/>
                <w:bCs/>
              </w:rPr>
            </w:pPr>
            <w:r w:rsidRPr="00360C27">
              <w:rPr>
                <w:b/>
                <w:bCs/>
              </w:rPr>
              <w:t>KLUSZCZYŃSKA KATARZYNA</w:t>
            </w:r>
          </w:p>
        </w:tc>
        <w:tc>
          <w:tcPr>
            <w:tcW w:w="3600" w:type="dxa"/>
            <w:hideMark/>
          </w:tcPr>
          <w:p w:rsidR="00360C27" w:rsidRPr="00360C27" w:rsidRDefault="00360C27" w:rsidP="00360C27">
            <w:pPr>
              <w:spacing w:after="160"/>
            </w:pPr>
            <w:r w:rsidRPr="00360C27">
              <w:t>prof. dr hab. n. med.</w:t>
            </w:r>
            <w:r>
              <w:t xml:space="preserve"> </w:t>
            </w:r>
            <w:r w:rsidRPr="00360C27">
              <w:t>Czyż Małgorzata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Are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exosomes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capable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transferring</w:t>
            </w:r>
            <w:proofErr w:type="spellEnd"/>
            <w:r w:rsidRPr="00360C27">
              <w:t xml:space="preserve"> the </w:t>
            </w:r>
            <w:proofErr w:type="spellStart"/>
            <w:r w:rsidRPr="00360C27">
              <w:t>resistant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phenotype</w:t>
            </w:r>
            <w:proofErr w:type="spellEnd"/>
            <w:r w:rsidRPr="00360C27">
              <w:t xml:space="preserve"> from </w:t>
            </w:r>
            <w:proofErr w:type="spellStart"/>
            <w:r w:rsidRPr="00360C27">
              <w:t>vemurafenib</w:t>
            </w:r>
            <w:proofErr w:type="spellEnd"/>
            <w:r w:rsidRPr="00360C27">
              <w:t xml:space="preserve">- </w:t>
            </w:r>
            <w:proofErr w:type="spellStart"/>
            <w:r w:rsidRPr="00360C27">
              <w:t>or</w:t>
            </w:r>
            <w:proofErr w:type="spellEnd"/>
            <w:r w:rsidRPr="00360C27">
              <w:br/>
            </w:r>
            <w:proofErr w:type="spellStart"/>
            <w:r w:rsidRPr="00360C27">
              <w:t>trametinib-resistant</w:t>
            </w:r>
            <w:proofErr w:type="spellEnd"/>
            <w:r w:rsidRPr="00360C27">
              <w:t xml:space="preserve"> melanoma </w:t>
            </w:r>
            <w:proofErr w:type="spellStart"/>
            <w:r w:rsidRPr="00360C27">
              <w:t>cells</w:t>
            </w:r>
            <w:proofErr w:type="spellEnd"/>
            <w:r w:rsidRPr="00360C27">
              <w:t xml:space="preserve"> to </w:t>
            </w:r>
            <w:proofErr w:type="spellStart"/>
            <w:r w:rsidRPr="00360C27">
              <w:t>their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drug-naïve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counterparts</w:t>
            </w:r>
            <w:proofErr w:type="spellEnd"/>
            <w:r w:rsidRPr="00360C27">
              <w:t>?</w:t>
            </w:r>
          </w:p>
        </w:tc>
      </w:tr>
      <w:tr w:rsidR="00360C27" w:rsidRPr="00360C27" w:rsidTr="00360C27">
        <w:trPr>
          <w:trHeight w:val="6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14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TĘCZA PAULINA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Czyż Małgorzata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Drug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holiday</w:t>
            </w:r>
            <w:proofErr w:type="spellEnd"/>
            <w:r w:rsidRPr="00360C27">
              <w:t xml:space="preserve"> in melanoma </w:t>
            </w:r>
            <w:proofErr w:type="spellStart"/>
            <w:r w:rsidRPr="00360C27">
              <w:t>treatment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molecularly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targeted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drugs</w:t>
            </w:r>
            <w:proofErr w:type="spellEnd"/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15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KUCZYŃSKA KATARZYNA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dr hab. n med.</w:t>
            </w:r>
            <w:r>
              <w:t xml:space="preserve"> </w:t>
            </w:r>
            <w:proofErr w:type="spellStart"/>
            <w:r w:rsidRPr="00360C27">
              <w:t>Boncler</w:t>
            </w:r>
            <w:proofErr w:type="spellEnd"/>
            <w:r w:rsidRPr="00360C27">
              <w:t xml:space="preserve"> Magdalena 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Does</w:t>
            </w:r>
            <w:proofErr w:type="spellEnd"/>
            <w:r w:rsidRPr="00360C27">
              <w:t xml:space="preserve"> fentanyl </w:t>
            </w:r>
            <w:proofErr w:type="spellStart"/>
            <w:r w:rsidRPr="00360C27">
              <w:t>activate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platelets</w:t>
            </w:r>
            <w:proofErr w:type="spellEnd"/>
            <w:r w:rsidRPr="00360C27">
              <w:t xml:space="preserve">? The role of </w:t>
            </w:r>
            <w:proofErr w:type="spellStart"/>
            <w:r w:rsidRPr="00360C27">
              <w:t>selected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blood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components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platelet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response</w:t>
            </w:r>
            <w:proofErr w:type="spellEnd"/>
            <w:r w:rsidRPr="00360C27">
              <w:t xml:space="preserve"> to fentanyl.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16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LASKOWSKA PAULINA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 Piotrowski Wojciech J.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evaluation</w:t>
            </w:r>
            <w:proofErr w:type="spellEnd"/>
            <w:r w:rsidRPr="00360C27">
              <w:t xml:space="preserve"> of 6MWT in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interstitial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lung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diseases</w:t>
            </w:r>
            <w:proofErr w:type="spellEnd"/>
            <w:r w:rsidRPr="00360C27">
              <w:t xml:space="preserve">. 12MWT as a </w:t>
            </w:r>
            <w:proofErr w:type="spellStart"/>
            <w:r w:rsidRPr="00360C27">
              <w:t>potential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alternative</w:t>
            </w:r>
            <w:proofErr w:type="spellEnd"/>
            <w:r w:rsidRPr="00360C27">
              <w:t xml:space="preserve"> to 6MWT?</w:t>
            </w:r>
          </w:p>
        </w:tc>
      </w:tr>
      <w:tr w:rsidR="00360C27" w:rsidRPr="00360C27" w:rsidTr="00360C27">
        <w:trPr>
          <w:trHeight w:val="1245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17</w:t>
            </w:r>
          </w:p>
        </w:tc>
        <w:tc>
          <w:tcPr>
            <w:tcW w:w="3300" w:type="dxa"/>
            <w:hideMark/>
          </w:tcPr>
          <w:p w:rsidR="00360C27" w:rsidRPr="00360C27" w:rsidRDefault="00360C27" w:rsidP="00360C27">
            <w:pPr>
              <w:spacing w:after="160"/>
              <w:rPr>
                <w:b/>
                <w:bCs/>
              </w:rPr>
            </w:pPr>
            <w:r w:rsidRPr="00360C27">
              <w:rPr>
                <w:b/>
                <w:bCs/>
              </w:rPr>
              <w:t>LEWKO DAWID</w:t>
            </w:r>
          </w:p>
        </w:tc>
        <w:tc>
          <w:tcPr>
            <w:tcW w:w="3600" w:type="dxa"/>
            <w:hideMark/>
          </w:tcPr>
          <w:p w:rsidR="00360C27" w:rsidRPr="00360C27" w:rsidRDefault="00360C27" w:rsidP="00360C27">
            <w:pPr>
              <w:spacing w:after="160"/>
            </w:pPr>
            <w:r w:rsidRPr="00360C27">
              <w:t>prof. dr hab. n. med.</w:t>
            </w:r>
            <w:r>
              <w:t xml:space="preserve"> </w:t>
            </w:r>
            <w:r w:rsidRPr="00360C27">
              <w:t>Majsterek Ireneusz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use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new</w:t>
            </w:r>
            <w:proofErr w:type="spellEnd"/>
            <w:r w:rsidRPr="00360C27">
              <w:t xml:space="preserve"> small </w:t>
            </w:r>
            <w:proofErr w:type="spellStart"/>
            <w:r w:rsidRPr="00360C27">
              <w:t>molecular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weight</w:t>
            </w:r>
            <w:proofErr w:type="spellEnd"/>
            <w:r w:rsidRPr="00360C27">
              <w:t xml:space="preserve"> PERK </w:t>
            </w:r>
            <w:proofErr w:type="spellStart"/>
            <w:r w:rsidRPr="00360C27">
              <w:t>kinase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inhibitors</w:t>
            </w:r>
            <w:proofErr w:type="spellEnd"/>
            <w:r w:rsidRPr="00360C27">
              <w:t xml:space="preserve"> for the </w:t>
            </w:r>
            <w:proofErr w:type="spellStart"/>
            <w:r w:rsidRPr="00360C27">
              <w:t>treatment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primary</w:t>
            </w:r>
            <w:proofErr w:type="spellEnd"/>
            <w:r w:rsidRPr="00360C27">
              <w:t xml:space="preserve"> open </w:t>
            </w:r>
            <w:proofErr w:type="spellStart"/>
            <w:r w:rsidRPr="00360C27">
              <w:t>angle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glaucoma</w:t>
            </w:r>
            <w:proofErr w:type="spellEnd"/>
            <w:r w:rsidRPr="00360C27">
              <w:t xml:space="preserve"> (POAG) and the influence of </w:t>
            </w:r>
            <w:proofErr w:type="spellStart"/>
            <w:r w:rsidRPr="00360C27">
              <w:t>polyphenol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oxidase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inhibitors</w:t>
            </w:r>
            <w:proofErr w:type="spellEnd"/>
            <w:r w:rsidRPr="00360C27">
              <w:t xml:space="preserve"> on </w:t>
            </w:r>
            <w:proofErr w:type="spellStart"/>
            <w:r w:rsidRPr="00360C27">
              <w:t>cell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viability</w:t>
            </w:r>
            <w:proofErr w:type="spellEnd"/>
            <w:r w:rsidRPr="00360C27">
              <w:t xml:space="preserve"> in non-small-</w:t>
            </w:r>
            <w:proofErr w:type="spellStart"/>
            <w:r w:rsidRPr="00360C27">
              <w:t>cell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lung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cancer</w:t>
            </w:r>
            <w:proofErr w:type="spellEnd"/>
            <w:r w:rsidRPr="00360C27">
              <w:t xml:space="preserve"> (NSCLC).</w:t>
            </w:r>
          </w:p>
        </w:tc>
      </w:tr>
      <w:tr w:rsidR="00360C27" w:rsidRPr="00360C27" w:rsidTr="00360C27">
        <w:trPr>
          <w:trHeight w:val="945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18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SIWAK MATEUSZ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 xml:space="preserve">prof. dr hab. n. med.  Majsterek Ireneusz </w:t>
            </w:r>
            <w:r w:rsidRPr="00360C27">
              <w:br/>
              <w:t>prof. dr hab. n med. Maciej Radek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Neurosurgical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doctorate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during</w:t>
            </w:r>
            <w:proofErr w:type="spellEnd"/>
            <w:r w:rsidRPr="00360C27">
              <w:t xml:space="preserve"> the </w:t>
            </w:r>
            <w:proofErr w:type="spellStart"/>
            <w:r w:rsidRPr="00360C27">
              <w:t>pandemic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19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MICHALSKA MAŁGORZATA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proofErr w:type="spellStart"/>
            <w:r w:rsidRPr="00360C27">
              <w:t>Stasiołek</w:t>
            </w:r>
            <w:proofErr w:type="spellEnd"/>
            <w:r w:rsidRPr="00360C27">
              <w:t xml:space="preserve"> Mariusz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First </w:t>
            </w:r>
            <w:proofErr w:type="spellStart"/>
            <w:r w:rsidRPr="00360C27">
              <w:t>year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research</w:t>
            </w:r>
            <w:proofErr w:type="spellEnd"/>
            <w:r w:rsidRPr="00360C27">
              <w:t xml:space="preserve"> „The role of </w:t>
            </w:r>
            <w:proofErr w:type="spellStart"/>
            <w:r w:rsidRPr="00360C27">
              <w:t>dendritic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cells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immunopathology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amyotrophic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lateral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sclerosis</w:t>
            </w:r>
            <w:proofErr w:type="spellEnd"/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20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MIKULSKI DAMIAN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Fendler Wojciech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Multiomic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analysis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exosomal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biomolecules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associated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irreversible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bone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marrow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injury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caused</w:t>
            </w:r>
            <w:proofErr w:type="spellEnd"/>
            <w:r w:rsidRPr="00360C27">
              <w:t xml:space="preserve"> by </w:t>
            </w:r>
            <w:proofErr w:type="spellStart"/>
            <w:r w:rsidRPr="00360C27">
              <w:t>myeloablative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chemotheraphy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treated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autologous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steam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cell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transplantation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21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PACHNIAK PAULINA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Borowiec Maciej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Free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circulating</w:t>
            </w:r>
            <w:proofErr w:type="spellEnd"/>
            <w:r w:rsidRPr="00360C27">
              <w:t xml:space="preserve"> DNA as a </w:t>
            </w:r>
            <w:proofErr w:type="spellStart"/>
            <w:r w:rsidRPr="00360C27">
              <w:t>cancer</w:t>
            </w:r>
            <w:proofErr w:type="spellEnd"/>
            <w:r w:rsidRPr="00360C27">
              <w:t xml:space="preserve"> marker and </w:t>
            </w:r>
            <w:proofErr w:type="spellStart"/>
            <w:r w:rsidRPr="00360C27">
              <w:t>predictive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factor</w:t>
            </w:r>
            <w:proofErr w:type="spellEnd"/>
            <w:r w:rsidRPr="00360C27">
              <w:t xml:space="preserve"> in the </w:t>
            </w:r>
            <w:proofErr w:type="spellStart"/>
            <w:r w:rsidRPr="00360C27">
              <w:t>course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pancreatic</w:t>
            </w:r>
            <w:proofErr w:type="spellEnd"/>
            <w:r w:rsidRPr="00360C27">
              <w:br/>
            </w:r>
            <w:proofErr w:type="spellStart"/>
            <w:r w:rsidRPr="00360C27">
              <w:t>cancer</w:t>
            </w:r>
            <w:proofErr w:type="spellEnd"/>
            <w:r w:rsidRPr="00360C27">
              <w:t xml:space="preserve"> .</w:t>
            </w:r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lastRenderedPageBreak/>
              <w:t>22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WRONA EWA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>Borowiec Maciej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An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analysis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prognostic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predictive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value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circulating</w:t>
            </w:r>
            <w:proofErr w:type="spellEnd"/>
            <w:r w:rsidRPr="00360C27">
              <w:t xml:space="preserve"> LIF </w:t>
            </w:r>
            <w:proofErr w:type="spellStart"/>
            <w:r w:rsidRPr="00360C27">
              <w:t>concentrations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treated</w:t>
            </w:r>
            <w:proofErr w:type="spellEnd"/>
            <w:r w:rsidRPr="00360C27">
              <w:t xml:space="preserve"> for </w:t>
            </w:r>
            <w:proofErr w:type="spellStart"/>
            <w:r w:rsidRPr="00360C27">
              <w:t>advanced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pancreatic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adenocarcinoma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23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PUŁA ANNA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</w:t>
            </w:r>
            <w:r>
              <w:t xml:space="preserve"> </w:t>
            </w:r>
            <w:r w:rsidRPr="00360C27">
              <w:t xml:space="preserve">Robak Tadeusz 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use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circulating</w:t>
            </w:r>
            <w:proofErr w:type="spellEnd"/>
            <w:r w:rsidRPr="00360C27">
              <w:t xml:space="preserve"> serum </w:t>
            </w:r>
            <w:proofErr w:type="spellStart"/>
            <w:r w:rsidRPr="00360C27">
              <w:t>miRNA</w:t>
            </w:r>
            <w:proofErr w:type="spellEnd"/>
            <w:r w:rsidRPr="00360C27">
              <w:t xml:space="preserve"> profile as a </w:t>
            </w:r>
            <w:proofErr w:type="spellStart"/>
            <w:r w:rsidRPr="00360C27">
              <w:t>biomarker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resistance</w:t>
            </w:r>
            <w:proofErr w:type="spellEnd"/>
            <w:r w:rsidRPr="00360C27">
              <w:t xml:space="preserve"> to </w:t>
            </w:r>
            <w:proofErr w:type="spellStart"/>
            <w:r w:rsidRPr="00360C27">
              <w:t>drugs</w:t>
            </w:r>
            <w:proofErr w:type="spellEnd"/>
            <w:r w:rsidRPr="00360C27">
              <w:t xml:space="preserve"> from</w:t>
            </w:r>
            <w:r w:rsidRPr="00360C27">
              <w:br/>
              <w:t xml:space="preserve">the </w:t>
            </w:r>
            <w:proofErr w:type="spellStart"/>
            <w:r w:rsidRPr="00360C27">
              <w:t>group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proteasome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inhibitors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treated</w:t>
            </w:r>
            <w:proofErr w:type="spellEnd"/>
            <w:r w:rsidRPr="00360C27">
              <w:t xml:space="preserve"> for </w:t>
            </w:r>
            <w:proofErr w:type="spellStart"/>
            <w:r w:rsidRPr="00360C27">
              <w:t>multiple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myeloma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24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SIENKIEWICZ MICHAŁ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 xml:space="preserve">prof. dr hab. n med. </w:t>
            </w:r>
            <w:proofErr w:type="spellStart"/>
            <w:r w:rsidRPr="00360C27">
              <w:t>Fichna</w:t>
            </w:r>
            <w:proofErr w:type="spellEnd"/>
            <w:r w:rsidRPr="00360C27">
              <w:t xml:space="preserve"> Jakub 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role of </w:t>
            </w:r>
            <w:proofErr w:type="spellStart"/>
            <w:r w:rsidRPr="00360C27">
              <w:t>telomeric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repeat-binding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factor</w:t>
            </w:r>
            <w:proofErr w:type="spellEnd"/>
            <w:r w:rsidRPr="00360C27">
              <w:t xml:space="preserve"> (TRF) 1 in </w:t>
            </w:r>
            <w:proofErr w:type="spellStart"/>
            <w:r w:rsidRPr="00360C27">
              <w:t>inflammatory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bowel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diseases</w:t>
            </w:r>
            <w:proofErr w:type="spellEnd"/>
            <w:r w:rsidRPr="00360C27">
              <w:t xml:space="preserve"> –</w:t>
            </w:r>
            <w:r w:rsidRPr="00360C27">
              <w:br/>
            </w:r>
            <w:proofErr w:type="spellStart"/>
            <w:r w:rsidRPr="00360C27">
              <w:t>diagnostic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therapeutic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potentia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25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SZYMAŃSKA PATRYCJA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dr hab. n. med. Golański Jacek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Platelets</w:t>
            </w:r>
            <w:proofErr w:type="spellEnd"/>
            <w:r w:rsidRPr="00360C27">
              <w:t xml:space="preserve"> as a </w:t>
            </w:r>
            <w:proofErr w:type="spellStart"/>
            <w:r w:rsidRPr="00360C27">
              <w:t>source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information</w:t>
            </w:r>
            <w:proofErr w:type="spellEnd"/>
            <w:r w:rsidRPr="00360C27">
              <w:t xml:space="preserve"> on </w:t>
            </w:r>
            <w:proofErr w:type="spellStart"/>
            <w:r w:rsidRPr="00360C27">
              <w:t>oxidative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stress</w:t>
            </w:r>
            <w:proofErr w:type="spellEnd"/>
            <w:r w:rsidRPr="00360C27">
              <w:t xml:space="preserve">, </w:t>
            </w:r>
            <w:proofErr w:type="spellStart"/>
            <w:r w:rsidRPr="00360C27">
              <w:t>inflammation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thrombotic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readiness</w:t>
            </w:r>
            <w:proofErr w:type="spellEnd"/>
            <w:r w:rsidRPr="00360C27">
              <w:t xml:space="preserve">. Model and </w:t>
            </w:r>
            <w:proofErr w:type="spellStart"/>
            <w:r w:rsidRPr="00360C27">
              <w:t>clinical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research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2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26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WARCHOŁ IZABELA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n. med. Lubiński Andrzej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A </w:t>
            </w:r>
            <w:proofErr w:type="spellStart"/>
            <w:r w:rsidRPr="00360C27">
              <w:t>study</w:t>
            </w:r>
            <w:proofErr w:type="spellEnd"/>
            <w:r w:rsidRPr="00360C27">
              <w:t xml:space="preserve"> on the </w:t>
            </w:r>
            <w:proofErr w:type="spellStart"/>
            <w:r w:rsidRPr="00360C27">
              <w:t>effectiveness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sudden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cardiac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death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prevention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among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patients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implanted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cardioverter-defibrillator</w:t>
            </w:r>
            <w:proofErr w:type="spellEnd"/>
            <w:r w:rsidRPr="00360C27">
              <w:t xml:space="preserve">, </w:t>
            </w:r>
            <w:proofErr w:type="spellStart"/>
            <w:r w:rsidRPr="00360C27">
              <w:t>according</w:t>
            </w:r>
            <w:proofErr w:type="spellEnd"/>
            <w:r w:rsidRPr="00360C27">
              <w:t xml:space="preserve"> to the </w:t>
            </w:r>
            <w:proofErr w:type="spellStart"/>
            <w:r w:rsidRPr="00360C27">
              <w:t>Polish</w:t>
            </w:r>
            <w:proofErr w:type="spellEnd"/>
            <w:r w:rsidRPr="00360C27">
              <w:t xml:space="preserve"> ICD POLKARD Registry.</w:t>
            </w:r>
          </w:p>
        </w:tc>
      </w:tr>
      <w:tr w:rsidR="00360C27" w:rsidRPr="00360C27" w:rsidTr="00360C27">
        <w:trPr>
          <w:trHeight w:val="63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27</w:t>
            </w:r>
          </w:p>
        </w:tc>
        <w:tc>
          <w:tcPr>
            <w:tcW w:w="3300" w:type="dxa"/>
            <w:noWrap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DOBREWA WERONIKA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 med. Wojciech Młynarski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Searching</w:t>
            </w:r>
            <w:proofErr w:type="spellEnd"/>
            <w:r w:rsidRPr="00360C27">
              <w:t xml:space="preserve"> for the </w:t>
            </w:r>
            <w:proofErr w:type="spellStart"/>
            <w:r w:rsidRPr="00360C27">
              <w:t>cause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neutropenia</w:t>
            </w:r>
            <w:proofErr w:type="spellEnd"/>
            <w:r w:rsidRPr="00360C27">
              <w:t xml:space="preserve">: </w:t>
            </w:r>
            <w:proofErr w:type="spellStart"/>
            <w:r w:rsidRPr="00360C27">
              <w:t>clinical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genetic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background</w:t>
            </w:r>
            <w:proofErr w:type="spellEnd"/>
          </w:p>
        </w:tc>
      </w:tr>
      <w:tr w:rsidR="00360C27" w:rsidRPr="00360C27" w:rsidTr="00360C27">
        <w:trPr>
          <w:trHeight w:val="90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28</w:t>
            </w:r>
          </w:p>
        </w:tc>
        <w:tc>
          <w:tcPr>
            <w:tcW w:w="3300" w:type="dxa"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RYDZYŃSKA ZUZANNA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 med. Wojciech Młynarski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r w:rsidRPr="00360C27">
              <w:t xml:space="preserve">The </w:t>
            </w:r>
            <w:proofErr w:type="spellStart"/>
            <w:r w:rsidRPr="00360C27">
              <w:t>use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cell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reprogramming</w:t>
            </w:r>
            <w:proofErr w:type="spellEnd"/>
            <w:r w:rsidRPr="00360C27">
              <w:t xml:space="preserve"> and </w:t>
            </w:r>
            <w:proofErr w:type="spellStart"/>
            <w:r w:rsidRPr="00360C27">
              <w:t>gene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editing</w:t>
            </w:r>
            <w:proofErr w:type="spellEnd"/>
            <w:r w:rsidRPr="00360C27">
              <w:t xml:space="preserve"> in </w:t>
            </w:r>
            <w:proofErr w:type="spellStart"/>
            <w:r w:rsidRPr="00360C27">
              <w:t>studies</w:t>
            </w:r>
            <w:proofErr w:type="spellEnd"/>
            <w:r w:rsidRPr="00360C27">
              <w:t xml:space="preserve"> of the </w:t>
            </w:r>
            <w:proofErr w:type="spellStart"/>
            <w:r w:rsidRPr="00360C27">
              <w:t>pathogenesis</w:t>
            </w:r>
            <w:proofErr w:type="spellEnd"/>
            <w:r w:rsidRPr="00360C27">
              <w:t xml:space="preserve"> of</w:t>
            </w:r>
            <w:r w:rsidRPr="00360C27">
              <w:br/>
            </w:r>
            <w:proofErr w:type="spellStart"/>
            <w:r w:rsidRPr="00360C27">
              <w:t>congenital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neutropenia</w:t>
            </w:r>
            <w:proofErr w:type="spellEnd"/>
            <w:r w:rsidRPr="00360C27">
              <w:t>.</w:t>
            </w:r>
          </w:p>
        </w:tc>
      </w:tr>
      <w:tr w:rsidR="00360C27" w:rsidRPr="00360C27" w:rsidTr="00360C27">
        <w:trPr>
          <w:trHeight w:val="1050"/>
        </w:trPr>
        <w:tc>
          <w:tcPr>
            <w:tcW w:w="960" w:type="dxa"/>
            <w:noWrap/>
            <w:hideMark/>
          </w:tcPr>
          <w:p w:rsidR="00360C27" w:rsidRPr="00360C27" w:rsidRDefault="00360C27" w:rsidP="00360C27">
            <w:r w:rsidRPr="00360C27">
              <w:t>29</w:t>
            </w:r>
          </w:p>
        </w:tc>
        <w:tc>
          <w:tcPr>
            <w:tcW w:w="3300" w:type="dxa"/>
            <w:noWrap/>
            <w:hideMark/>
          </w:tcPr>
          <w:p w:rsidR="00360C27" w:rsidRPr="00360C27" w:rsidRDefault="00360C27">
            <w:pPr>
              <w:rPr>
                <w:b/>
                <w:bCs/>
              </w:rPr>
            </w:pPr>
            <w:r w:rsidRPr="00360C27">
              <w:rPr>
                <w:b/>
                <w:bCs/>
              </w:rPr>
              <w:t>URBAŃSKA ZUZANNA</w:t>
            </w:r>
          </w:p>
        </w:tc>
        <w:tc>
          <w:tcPr>
            <w:tcW w:w="3600" w:type="dxa"/>
            <w:hideMark/>
          </w:tcPr>
          <w:p w:rsidR="00360C27" w:rsidRPr="00360C27" w:rsidRDefault="00360C27">
            <w:r w:rsidRPr="00360C27">
              <w:t>prof. dr hab. n med. Wojciech Młynarski</w:t>
            </w:r>
          </w:p>
        </w:tc>
        <w:tc>
          <w:tcPr>
            <w:tcW w:w="7080" w:type="dxa"/>
            <w:hideMark/>
          </w:tcPr>
          <w:p w:rsidR="00360C27" w:rsidRPr="00360C27" w:rsidRDefault="00360C27">
            <w:proofErr w:type="spellStart"/>
            <w:r w:rsidRPr="00360C27">
              <w:t>Genome-wide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identification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genetic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aberrations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associated</w:t>
            </w:r>
            <w:proofErr w:type="spellEnd"/>
            <w:r w:rsidRPr="00360C27">
              <w:t xml:space="preserve"> with </w:t>
            </w:r>
            <w:proofErr w:type="spellStart"/>
            <w:r w:rsidRPr="00360C27">
              <w:t>chemoresistance</w:t>
            </w:r>
            <w:proofErr w:type="spellEnd"/>
            <w:r w:rsidRPr="00360C27">
              <w:t xml:space="preserve"> of </w:t>
            </w:r>
            <w:proofErr w:type="spellStart"/>
            <w:r w:rsidRPr="00360C27">
              <w:t>childhood</w:t>
            </w:r>
            <w:proofErr w:type="spellEnd"/>
            <w:r w:rsidRPr="00360C27">
              <w:t xml:space="preserve"> B-</w:t>
            </w:r>
            <w:proofErr w:type="spellStart"/>
            <w:r w:rsidRPr="00360C27">
              <w:t>cell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precursor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acute</w:t>
            </w:r>
            <w:proofErr w:type="spellEnd"/>
            <w:r w:rsidRPr="00360C27">
              <w:t xml:space="preserve"> </w:t>
            </w:r>
            <w:proofErr w:type="spellStart"/>
            <w:r w:rsidRPr="00360C27">
              <w:t>lymphoblastic</w:t>
            </w:r>
            <w:proofErr w:type="spellEnd"/>
            <w:r w:rsidRPr="00360C27">
              <w:t xml:space="preserve"> leukemia.</w:t>
            </w:r>
          </w:p>
        </w:tc>
      </w:tr>
    </w:tbl>
    <w:p w:rsidR="00360C27" w:rsidRDefault="00360C27"/>
    <w:sectPr w:rsidR="0036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27"/>
    <w:rsid w:val="00360C27"/>
    <w:rsid w:val="00AA3F45"/>
    <w:rsid w:val="00D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6CAF-BA9A-4B10-985E-7BD25B08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2</cp:revision>
  <dcterms:created xsi:type="dcterms:W3CDTF">2020-06-15T10:04:00Z</dcterms:created>
  <dcterms:modified xsi:type="dcterms:W3CDTF">2020-06-15T10:08:00Z</dcterms:modified>
</cp:coreProperties>
</file>